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001-33863</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Xinyuan Real Estate Co., Ltd.</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80"/>
        <w:spacing w:after="0"/>
        <w:tabs>
          <w:tab w:leader="none" w:pos="39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27/F, CHINA CENTRAL PLACE</w:t>
      </w:r>
    </w:p>
    <w:p>
      <w:pPr>
        <w:spacing w:after="0" w:line="6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0000FF"/>
        </w:rPr>
        <w:t>BEIJING</w:t>
      </w:r>
    </w:p>
    <w:p>
      <w:pPr>
        <w:spacing w:after="0" w:line="63" w:lineRule="exact"/>
        <w:rPr>
          <w:sz w:val="24"/>
          <w:szCs w:val="24"/>
          <w:color w:val="auto"/>
        </w:rPr>
      </w:pPr>
    </w:p>
    <w:p>
      <w:pPr>
        <w:ind w:left="2380"/>
        <w:spacing w:after="0"/>
        <w:tabs>
          <w:tab w:leader="none" w:pos="64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86-10-8588-9200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color w:val="0000FF"/>
        </w:rPr>
        <w:t>American Depositary Shares (each Representing twenty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2026-01-14</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Anthony Sozzi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2"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("NYSE" or the "Exchange") hereby notifies the Securities and Exchange Commission (the "Commission") of its intention to remove the entire class of American Depositary Shares (each Representing twenty Common Shares) (the "ADSs") of Xinyuan Real Estate Co., Ltd. (the "Company") from listing and registration on the Exchange on January 26, 2026, pursuant to the provisions of Rule 12d2-2(b) because, in the opinion of the Exchange, the ADSs are no longer suitable for continued listing and trading on the NYSE. The Exchange determined that the ADSs are no longer suitable for listing because the Company had fallen below the NYSE's continued listing standard requiring listed companies to maintain an average global market capitalization over a consecutive 30 trading day period of at least $15,000,000 On September 3, 2025, the Exchange determined that the ADSs of the Company should be suspended from trading and directed the preparation and filing with the Commission of this application for the removal of the ADSs from listing and registration on the NYSE. The Company was notified on September 3, 2025. Pursuant to the above authorization, a press release regarding the proposed delisting was issued and posted on the Exchange's website on September 3, 2025, and trading in the ADSs was immediately suspended. The Company had a right to appeal to a Committee of the Board of Directors of the Exchange (the "Committee") the determination to delist the ADSs, provided it filed a written request for such a review with the Secretary of the Exchange within ten business days of receiving notice of the delisting determination. The Company filed such a request on September 17, 2025, within the specified time period. On January 9, 2026, the Committee issued a decision in which it upheld the Exchange's previously announced determination to delist the Company's ADSs. Consequently, all conditions precedent under SEC Rule 12d2-2(b) to the filing of this application have been satisfied.</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3863" TargetMode="External"/><Relationship Id="rId11" Type="http://schemas.openxmlformats.org/officeDocument/2006/relationships/hyperlink" Target="http://www.sec.gov/cgi-bin/browse-edgar?action=getcompany&amp;CIK=0001398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2026-01-14T09:10:59Z</dcterms:created>
  <dcterms:modified xsi:type="dcterms:W3CDTF">2026-01-14T09:10:59Z</dcterms:modified>
</cp:coreProperties>
</file>