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280" w:val="left"/>
        </w:tabs>
        <w:rPr>
          <w:sz w:val="20"/>
          <w:szCs w:val="20"/>
          <w:color w:val="auto"/>
        </w:rPr>
      </w:pPr>
      <w:r>
        <w:rPr>
          <w:rFonts w:ascii="Times New Roman" w:cs="Times New Roman" w:eastAsia="Times New Roman" w:hAnsi="Times New Roman"/>
          <w:sz w:val="18"/>
          <w:szCs w:val="18"/>
          <w:i w:val="1"/>
          <w:iCs w:val="1"/>
          <w:color w:val="auto"/>
        </w:rPr>
        <w:t>(Check One)</w:t>
      </w:r>
      <w:r>
        <w:rPr>
          <w:rFonts w:ascii="Times New Roman" w:cs="Times New Roman" w:eastAsia="Times New Roman" w:hAnsi="Times New Roman"/>
          <w:sz w:val="18"/>
          <w:szCs w:val="18"/>
          <w:color w:val="auto"/>
        </w:rPr>
        <w: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p>
    <w:p>
      <w:pPr>
        <w:spacing w:after="0" w:line="63" w:lineRule="exact"/>
        <w:rPr>
          <w:sz w:val="24"/>
          <w:szCs w:val="24"/>
          <w:color w:val="auto"/>
        </w:rPr>
      </w:pPr>
    </w:p>
    <w:p>
      <w:pPr>
        <w:ind w:left="1300" w:right="5120" w:firstLine="4"/>
        <w:spacing w:after="0" w:line="326" w:lineRule="exact"/>
        <w:tabs>
          <w:tab w:leader="none" w:pos="15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December 31, 2025</w:t>
      </w:r>
    </w:p>
    <w:p>
      <w:pPr>
        <w:spacing w:after="0" w:line="198" w:lineRule="exact"/>
        <w:rPr>
          <w:rFonts w:ascii="MS PGothic" w:cs="MS PGothic" w:eastAsia="MS PGothic" w:hAnsi="MS PGothic"/>
          <w:sz w:val="18"/>
          <w:szCs w:val="18"/>
          <w:color w:val="auto"/>
        </w:rPr>
      </w:pPr>
    </w:p>
    <w:p>
      <w:pPr>
        <w:ind w:left="1680" w:hanging="376"/>
        <w:spacing w:after="0"/>
        <w:tabs>
          <w:tab w:leader="none" w:pos="1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highlight w:val="black"/>
        </w:rPr>
      </w:pPr>
    </w:p>
    <w:p>
      <w:pPr>
        <w:ind w:left="1680" w:hanging="376"/>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80" w:hanging="376"/>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80" w:hanging="376"/>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1694180</wp:posOffset>
            </wp:positionH>
            <wp:positionV relativeFrom="paragraph">
              <wp:posOffset>-706120</wp:posOffset>
            </wp:positionV>
            <wp:extent cx="1154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4430" cy="889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For the Transition Period Ended: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9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3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XINYUAN REAL ESTATE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7th Floor, Jingyi Building, No. 93Jianguo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100022,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20" w:lineRule="exact"/>
        <w:rPr>
          <w:sz w:val="24"/>
          <w:szCs w:val="24"/>
          <w:color w:val="auto"/>
        </w:rPr>
      </w:pPr>
    </w:p>
    <w:p>
      <w:pPr>
        <w:ind w:left="1580" w:hanging="1578"/>
        <w:spacing w:after="0" w:line="282" w:lineRule="auto"/>
        <w:tabs>
          <w:tab w:leader="none" w:pos="1560" w:val="left"/>
        </w:tabs>
        <w:rPr>
          <w:sz w:val="20"/>
          <w:szCs w:val="20"/>
          <w:color w:val="auto"/>
        </w:rPr>
      </w:pPr>
      <w:r>
        <w:rPr>
          <w:rFonts w:ascii="Times New Roman" w:cs="Times New Roman" w:eastAsia="Times New Roman" w:hAnsi="Times New Roman"/>
          <w:sz w:val="18"/>
          <w:szCs w:val="18"/>
          <w:color w:val="auto"/>
        </w:rPr>
        <w:t>SEC 1344 (01-19)</w:t>
        <w:tab/>
        <w:t>Potential persons who are to respond to the collection of information contained in this Form are not required to respond unless the Form displays a currently valid OMB control number.</w:t>
      </w:r>
    </w:p>
    <w:p>
      <w:pPr>
        <w:spacing w:after="0" w:line="162" w:lineRule="exact"/>
        <w:rPr>
          <w:sz w:val="24"/>
          <w:szCs w:val="24"/>
          <w:color w:val="auto"/>
        </w:rPr>
      </w:pPr>
    </w:p>
    <w:p>
      <w:pPr>
        <w:spacing w:after="0"/>
        <w:tabs>
          <w:tab w:leader="none" w:pos="4480" w:val="left"/>
          <w:tab w:leader="none" w:pos="7860" w:val="left"/>
        </w:tabs>
        <w:rPr>
          <w:sz w:val="20"/>
          <w:szCs w:val="20"/>
          <w:color w:val="auto"/>
        </w:rPr>
      </w:pPr>
      <w:r>
        <w:rPr>
          <w:rFonts w:ascii="Times New Roman" w:cs="Times New Roman" w:eastAsia="Times New Roman" w:hAnsi="Times New Roman"/>
          <w:sz w:val="18"/>
          <w:szCs w:val="18"/>
          <w:color w:val="auto"/>
        </w:rPr>
        <w:t>Board of Governors of the Federal Reserve System</w:t>
      </w:r>
      <w:r>
        <w:rPr>
          <w:sz w:val="20"/>
          <w:szCs w:val="20"/>
          <w:color w:val="auto"/>
        </w:rPr>
        <w:tab/>
      </w:r>
      <w:r>
        <w:rPr>
          <w:rFonts w:ascii="Times New Roman" w:cs="Times New Roman" w:eastAsia="Times New Roman" w:hAnsi="Times New Roman"/>
          <w:sz w:val="18"/>
          <w:szCs w:val="18"/>
          <w:color w:val="auto"/>
        </w:rPr>
        <w:t>OMB Number 7100-0091</w:t>
      </w:r>
      <w:r>
        <w:rPr>
          <w:sz w:val="20"/>
          <w:szCs w:val="20"/>
          <w:color w:val="auto"/>
        </w:rPr>
        <w:tab/>
      </w:r>
      <w:r>
        <w:rPr>
          <w:rFonts w:ascii="Times New Roman" w:cs="Times New Roman" w:eastAsia="Times New Roman" w:hAnsi="Times New Roman"/>
          <w:sz w:val="17"/>
          <w:szCs w:val="17"/>
          <w:color w:val="auto"/>
        </w:rPr>
        <w:t>Approval expires August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673" w:right="6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200" w:hanging="562"/>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200" w:hanging="562"/>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1200" w:right="120" w:hanging="983"/>
        <w:spacing w:after="0" w:line="200" w:lineRule="auto"/>
        <w:tabs>
          <w:tab w:leader="none" w:pos="12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200" w:hanging="562"/>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-1079500</wp:posOffset>
            </wp:positionV>
            <wp:extent cx="8255" cy="1097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XINYUAN REAL ESTATE CO., LTD. (the “Company”) respectfully notifies the Securities and Exchange Commission (the “Commission”) that it was unable to file its annual report on Form 20-F for the fiscal year ended December 31, 2025 (the “Annual Report”) on or before the prescribed due date of April 30, 2026 without unreasonable effort and expense, because the Company's management team is still compiling the information required for the annual report and needs additional time to finalize the consolidated financial statements. The Company and its independent registered public accounting firm also require additional time to perform further testing and complete the preparation of documentation. The Company expects to file the Annual Report within the 15-day extension period prescribed by Rule 12b-25(b)(2)(ii)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James Zhu</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0"/>
                <w:szCs w:val="20"/>
                <w:color w:val="auto"/>
              </w:rPr>
            </w:pPr>
          </w:p>
        </w:tc>
        <w:tc>
          <w:tcPr>
            <w:tcW w:w="448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503 - 9895</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(Area Code) (Telephone Number)</w:t>
            </w:r>
          </w:p>
        </w:tc>
      </w:tr>
    </w:tbl>
    <w:p>
      <w:pPr>
        <w:spacing w:after="0" w:line="179" w:lineRule="exact"/>
        <w:rPr>
          <w:sz w:val="20"/>
          <w:szCs w:val="20"/>
          <w:color w:val="auto"/>
        </w:rPr>
      </w:pPr>
    </w:p>
    <w:p>
      <w:pPr>
        <w:ind w:left="660" w:right="1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10500" w:hanging="194"/>
        <w:spacing w:after="0" w:line="196" w:lineRule="exact"/>
        <w:tabs>
          <w:tab w:leader="none" w:pos="10500" w:val="left"/>
        </w:tabs>
        <w:numPr>
          <w:ilvl w:val="1"/>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rFonts w:ascii="MS PGothic" w:cs="MS PGothic" w:eastAsia="MS PGothic" w:hAnsi="MS PGothic"/>
          <w:sz w:val="17"/>
          <w:szCs w:val="17"/>
          <w:color w:val="auto"/>
        </w:rPr>
      </w:pPr>
    </w:p>
    <w:p>
      <w:pPr>
        <w:ind w:left="660" w:right="2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10500" w:hanging="194"/>
        <w:spacing w:after="0" w:line="196" w:lineRule="exact"/>
        <w:tabs>
          <w:tab w:leader="none" w:pos="10500" w:val="left"/>
        </w:tabs>
        <w:numPr>
          <w:ilvl w:val="1"/>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XINYUAN REAL ESTATE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54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Yong Zhang</w:t>
            </w:r>
          </w:p>
        </w:tc>
      </w:tr>
      <w:tr>
        <w:trPr>
          <w:trHeight w:val="211"/>
        </w:trPr>
        <w:tc>
          <w:tcPr>
            <w:tcW w:w="580" w:type="dxa"/>
            <w:vAlign w:val="bottom"/>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Yong Zhang, Chief Executive Officer</w:t>
            </w:r>
          </w:p>
        </w:tc>
      </w:tr>
    </w:tbl>
    <w:p>
      <w:pPr>
        <w:spacing w:after="0"/>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w:t>
      </w:r>
    </w:p>
    <w:p>
      <w:pPr>
        <w:spacing w:after="0" w:line="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INSTRUCTIONS</w:t>
      </w:r>
    </w:p>
    <w:p>
      <w:pPr>
        <w:spacing w:after="0" w:line="229" w:lineRule="exact"/>
        <w:rPr>
          <w:sz w:val="20"/>
          <w:szCs w:val="20"/>
          <w:color w:val="auto"/>
        </w:rPr>
      </w:pPr>
    </w:p>
    <w:p>
      <w:pPr>
        <w:ind w:left="340" w:right="96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is required by Rule 12b-25 (17 CFR 240.12b-25) of the General Rules and Regulations under the Securities Exchange Act of 1934.</w:t>
      </w:r>
    </w:p>
    <w:p>
      <w:pPr>
        <w:spacing w:after="0" w:line="161" w:lineRule="exact"/>
        <w:rPr>
          <w:rFonts w:ascii="Times New Roman" w:cs="Times New Roman" w:eastAsia="Times New Roman" w:hAnsi="Times New Roman"/>
          <w:sz w:val="18"/>
          <w:szCs w:val="18"/>
          <w:color w:val="auto"/>
        </w:rPr>
      </w:pPr>
    </w:p>
    <w:p>
      <w:pPr>
        <w:ind w:left="340" w:right="100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175" w:lineRule="exact"/>
        <w:rPr>
          <w:rFonts w:ascii="Times New Roman" w:cs="Times New Roman" w:eastAsia="Times New Roman" w:hAnsi="Times New Roman"/>
          <w:sz w:val="18"/>
          <w:szCs w:val="18"/>
          <w:color w:val="auto"/>
        </w:rPr>
      </w:pPr>
    </w:p>
    <w:p>
      <w:pPr>
        <w:ind w:left="340" w:right="106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manually signed copy of the Form and amendments thereto shall be filed with each national securities exchange on which any class of securities of the registrant is registered.</w:t>
      </w:r>
    </w:p>
    <w:p>
      <w:pPr>
        <w:spacing w:after="0" w:line="161"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notifications must also be filed on Form 12b-25 but need not restate information that has been correctly furnished. The Form shall be clearly identified as an amended notification.</w:t>
      </w:r>
    </w:p>
    <w:p>
      <w:pPr>
        <w:spacing w:after="0" w:line="161" w:lineRule="exact"/>
        <w:rPr>
          <w:rFonts w:ascii="Times New Roman" w:cs="Times New Roman" w:eastAsia="Times New Roman" w:hAnsi="Times New Roman"/>
          <w:sz w:val="18"/>
          <w:szCs w:val="18"/>
          <w:color w:val="auto"/>
        </w:rPr>
      </w:pPr>
    </w:p>
    <w:p>
      <w:pPr>
        <w:ind w:left="340" w:right="46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filers. This form shall not be used by electronic filers unable to timely file a report solely due to electronic difficulties. Filers unable to submit a report within the time period prescribed due to difficulties in electronic filing should comply with either Rule 201 or Rule 202 of Regulation S-T (§232.201 or §232.202 of this chapter) or apply for an adjustment in filing date pursuant to Rule 13(b) of Regulation S-T (§232.13(b) of this Chapter).</w:t>
      </w:r>
    </w:p>
    <w:p>
      <w:pPr>
        <w:spacing w:after="0" w:line="179"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Interactive data submissions</w:t>
      </w:r>
      <w:r>
        <w:rPr>
          <w:rFonts w:ascii="Times New Roman" w:cs="Times New Roman" w:eastAsia="Times New Roman" w:hAnsi="Times New Roman"/>
          <w:sz w:val="18"/>
          <w:szCs w:val="18"/>
          <w:color w:val="auto"/>
        </w:rPr>
        <w:t>. This Form shall not be used by electronic filers with respect to the submission or posting of an Interactive Data File (§232.11 of this chapter). Electronic filers unable to submit or post an Interactive Data File within the time period prescribed should comply with either Rule 201 or 202 of Regulation S-T (§232.201 and §232.202 of this chapter).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2026-04-30T06:28:25Z</dcterms:created>
  <dcterms:modified xsi:type="dcterms:W3CDTF">2026-04-30T06:28:25Z</dcterms:modified>
</cp:coreProperties>
</file>