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Report of Foreign Private Issuer</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Pursuant to Rule 13a-16 or 15d-16</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of the Securities Exchange Act of 1934</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001-33863</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XINYUAN REAL ESTATE CO., LTD.</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27/F, China Central Place, Tower II</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79 Jianguo Road, Chaoyang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Beijing 100025</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900"/>
        <w:spacing w:after="0" w:line="207" w:lineRule="exact"/>
        <w:tabs>
          <w:tab w:leader="none" w:pos="6300" w:val="left"/>
        </w:tabs>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 xml:space="preserve">Form 40-F </w:t>
      </w:r>
      <w:r>
        <w:rPr>
          <w:rFonts w:ascii="MS PGothic" w:cs="MS PGothic" w:eastAsia="MS PGothic" w:hAnsi="MS PGothic"/>
          <w:sz w:val="17"/>
          <w:szCs w:val="17"/>
          <w:color w:val="auto"/>
          <w:highlight w:val="black"/>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4" w:right="1440" w:bottom="1440" w:gutter="0" w:footer="0" w:header="0"/>
        </w:sectPr>
      </w:pPr>
    </w:p>
    <w:bookmarkStart w:id="1" w:name="page2"/>
    <w:bookmarkEnd w:id="1"/>
    <w:p>
      <w:pPr>
        <w:ind w:firstLine="972"/>
        <w:spacing w:after="0" w:line="261" w:lineRule="auto"/>
        <w:rPr>
          <w:sz w:val="20"/>
          <w:szCs w:val="20"/>
          <w:color w:val="auto"/>
        </w:rPr>
      </w:pPr>
      <w:r>
        <w:rPr>
          <w:rFonts w:ascii="Times New Roman" w:cs="Times New Roman" w:eastAsia="Times New Roman" w:hAnsi="Times New Roman"/>
          <w:sz w:val="18"/>
          <w:szCs w:val="18"/>
          <w:color w:val="auto"/>
        </w:rPr>
        <w:t>On September 3, 2025, Xinyuan Real Estate Co., Ltd. (the “Company”) entered into a subscription agreement (the “Subscription Agreement”) with Juicy Seasons Limited (the “Purchaser”) pursuant to which the Purchaser purchases from the Company and the Company issues to the Purchaser an aggregate of 12,028,260 common shares of the Company, par value $0.0001 per share (the “Common Shares”), at a purchase price of $0.0934 per Common Share (the “Transaction”).</w:t>
      </w:r>
    </w:p>
    <w:p>
      <w:pPr>
        <w:spacing w:after="0" w:line="180" w:lineRule="exact"/>
        <w:rPr>
          <w:sz w:val="20"/>
          <w:szCs w:val="20"/>
          <w:color w:val="auto"/>
        </w:rPr>
      </w:pPr>
    </w:p>
    <w:p>
      <w:pPr>
        <w:jc w:val="both"/>
        <w:ind w:right="220" w:firstLine="972"/>
        <w:spacing w:after="0" w:line="266" w:lineRule="auto"/>
        <w:rPr>
          <w:sz w:val="20"/>
          <w:szCs w:val="20"/>
          <w:color w:val="auto"/>
        </w:rPr>
      </w:pPr>
      <w:r>
        <w:rPr>
          <w:rFonts w:ascii="Times New Roman" w:cs="Times New Roman" w:eastAsia="Times New Roman" w:hAnsi="Times New Roman"/>
          <w:sz w:val="18"/>
          <w:szCs w:val="18"/>
          <w:color w:val="auto"/>
        </w:rPr>
        <w:t>The Common Shares have not been registered under the Securities Act of 1933, as amended (the “Securities Act”), or the securities laws of any state, and were offered and issued in reliance on exemptions from registration under the Securities Act, afforded by provisions of Section 4(a)(2) and Regulation S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XINYUAN REAL ESTATE CO., LTD.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14, 2025</w:t>
      </w:r>
      <w:r>
        <w:rPr>
          <w:sz w:val="20"/>
          <w:szCs w:val="20"/>
          <w:color w:val="auto"/>
        </w:rPr>
        <w:tab/>
      </w:r>
      <w:r>
        <w:rPr>
          <w:rFonts w:ascii="Times New Roman" w:cs="Times New Roman" w:eastAsia="Times New Roman" w:hAnsi="Times New Roman"/>
          <w:sz w:val="18"/>
          <w:szCs w:val="18"/>
          <w:color w:val="auto"/>
        </w:rPr>
        <w:t>By: /s/ Yong Zhang</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Yong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2025-10-14T14:04:25Z</dcterms:created>
  <dcterms:modified xsi:type="dcterms:W3CDTF">2025-10-14T14:04:25Z</dcterms:modified>
</cp:coreProperties>
</file>